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6E" w:rsidRPr="00C84A44" w:rsidRDefault="0073316E" w:rsidP="00161D9F">
      <w:pPr>
        <w:spacing w:after="0"/>
        <w:jc w:val="both"/>
        <w:rPr>
          <w:sz w:val="20"/>
          <w:szCs w:val="20"/>
        </w:rPr>
      </w:pPr>
      <w:r w:rsidRPr="00C84A44">
        <w:rPr>
          <w:sz w:val="20"/>
          <w:szCs w:val="20"/>
        </w:rPr>
        <w:t xml:space="preserve">Vous avez intégré le service intendance de votre lycée. </w:t>
      </w:r>
      <w:r w:rsidR="00970C2A">
        <w:rPr>
          <w:sz w:val="20"/>
          <w:szCs w:val="20"/>
        </w:rPr>
        <w:t>Ce dernier</w:t>
      </w:r>
      <w:r w:rsidRPr="00C84A44">
        <w:rPr>
          <w:sz w:val="20"/>
          <w:szCs w:val="20"/>
        </w:rPr>
        <w:t xml:space="preserve"> est un établissement public </w:t>
      </w:r>
      <w:r w:rsidR="000501AE">
        <w:rPr>
          <w:sz w:val="20"/>
          <w:szCs w:val="20"/>
        </w:rPr>
        <w:t xml:space="preserve">local </w:t>
      </w:r>
      <w:r w:rsidRPr="00C84A44">
        <w:rPr>
          <w:sz w:val="20"/>
          <w:szCs w:val="20"/>
        </w:rPr>
        <w:t>d’enseignement</w:t>
      </w:r>
      <w:r w:rsidR="000501AE">
        <w:rPr>
          <w:sz w:val="20"/>
          <w:szCs w:val="20"/>
        </w:rPr>
        <w:t xml:space="preserve"> (EPLE)</w:t>
      </w:r>
      <w:r w:rsidRPr="00C84A44">
        <w:rPr>
          <w:sz w:val="20"/>
          <w:szCs w:val="20"/>
        </w:rPr>
        <w:t xml:space="preserve"> </w:t>
      </w:r>
      <w:r w:rsidRPr="00432FE9">
        <w:rPr>
          <w:sz w:val="20"/>
          <w:szCs w:val="20"/>
          <w:u w:val="single"/>
        </w:rPr>
        <w:t>non assujetti à la TVA</w:t>
      </w:r>
      <w:r w:rsidRPr="00C84A44">
        <w:rPr>
          <w:sz w:val="20"/>
          <w:szCs w:val="20"/>
        </w:rPr>
        <w:t xml:space="preserve"> ce qui signifie également </w:t>
      </w:r>
      <w:r w:rsidRPr="00432FE9">
        <w:rPr>
          <w:sz w:val="20"/>
          <w:szCs w:val="20"/>
          <w:u w:val="single"/>
        </w:rPr>
        <w:t>qu’il ne peut pas récupérer la TVA sur ses achats</w:t>
      </w:r>
      <w:r w:rsidRPr="00C84A44">
        <w:rPr>
          <w:sz w:val="20"/>
          <w:szCs w:val="20"/>
        </w:rPr>
        <w:t>.</w:t>
      </w:r>
      <w:r w:rsidR="00161D9F">
        <w:rPr>
          <w:sz w:val="20"/>
          <w:szCs w:val="20"/>
        </w:rPr>
        <w:t xml:space="preserve"> </w:t>
      </w:r>
      <w:r w:rsidRPr="00C84A44">
        <w:rPr>
          <w:sz w:val="20"/>
          <w:szCs w:val="20"/>
        </w:rPr>
        <w:t xml:space="preserve">Vous êtes sous la responsabilité </w:t>
      </w:r>
      <w:r w:rsidR="002C0CD8">
        <w:rPr>
          <w:sz w:val="20"/>
          <w:szCs w:val="20"/>
        </w:rPr>
        <w:t>de l’a</w:t>
      </w:r>
      <w:r w:rsidR="00B15987">
        <w:rPr>
          <w:sz w:val="20"/>
          <w:szCs w:val="20"/>
        </w:rPr>
        <w:t>gent</w:t>
      </w:r>
      <w:r w:rsidRPr="00C84A44">
        <w:rPr>
          <w:sz w:val="20"/>
          <w:szCs w:val="20"/>
        </w:rPr>
        <w:t>, chargé</w:t>
      </w:r>
      <w:r w:rsidR="00B15987">
        <w:rPr>
          <w:sz w:val="20"/>
          <w:szCs w:val="20"/>
        </w:rPr>
        <w:t>e</w:t>
      </w:r>
      <w:r w:rsidRPr="00C84A44">
        <w:rPr>
          <w:sz w:val="20"/>
          <w:szCs w:val="20"/>
        </w:rPr>
        <w:t xml:space="preserve"> de la gestion des denrées alimentaires pour la cantine.</w:t>
      </w:r>
      <w:r w:rsidR="00161D9F">
        <w:rPr>
          <w:sz w:val="20"/>
          <w:szCs w:val="20"/>
        </w:rPr>
        <w:t xml:space="preserve"> </w:t>
      </w:r>
      <w:r w:rsidR="00E20A31">
        <w:rPr>
          <w:sz w:val="20"/>
          <w:szCs w:val="20"/>
        </w:rPr>
        <w:t>Elle vous présente deux</w:t>
      </w:r>
      <w:r w:rsidRPr="00C84A44">
        <w:rPr>
          <w:sz w:val="20"/>
          <w:szCs w:val="20"/>
        </w:rPr>
        <w:t xml:space="preserve"> page</w:t>
      </w:r>
      <w:r w:rsidR="00E20A31">
        <w:rPr>
          <w:sz w:val="20"/>
          <w:szCs w:val="20"/>
        </w:rPr>
        <w:t>s écran du</w:t>
      </w:r>
      <w:r w:rsidRPr="00C84A44">
        <w:rPr>
          <w:sz w:val="20"/>
          <w:szCs w:val="20"/>
        </w:rPr>
        <w:t xml:space="preserve"> logiciel de gestion relative</w:t>
      </w:r>
      <w:r w:rsidR="00E20A31">
        <w:rPr>
          <w:sz w:val="20"/>
          <w:szCs w:val="20"/>
        </w:rPr>
        <w:t>s</w:t>
      </w:r>
      <w:r w:rsidRPr="00C84A44">
        <w:rPr>
          <w:sz w:val="20"/>
          <w:szCs w:val="20"/>
        </w:rPr>
        <w:t xml:space="preserve"> aux mouvements de stock. Elle vous demande </w:t>
      </w:r>
      <w:r w:rsidR="00EE15E2">
        <w:rPr>
          <w:sz w:val="20"/>
          <w:szCs w:val="20"/>
        </w:rPr>
        <w:t>de procéder à leur analyse.</w:t>
      </w:r>
    </w:p>
    <w:p w:rsidR="00C84A44" w:rsidRDefault="00C84A44">
      <w:pPr>
        <w:rPr>
          <w:sz w:val="20"/>
          <w:szCs w:val="20"/>
        </w:rPr>
      </w:pPr>
    </w:p>
    <w:p w:rsidR="00E20A31" w:rsidRPr="00E20A31" w:rsidRDefault="00E20A31" w:rsidP="00E20A31">
      <w:pPr>
        <w:rPr>
          <w:b/>
          <w:sz w:val="20"/>
          <w:szCs w:val="20"/>
        </w:rPr>
      </w:pPr>
      <w:r w:rsidRPr="00E20A31">
        <w:rPr>
          <w:b/>
          <w:sz w:val="20"/>
          <w:szCs w:val="20"/>
        </w:rPr>
        <w:t xml:space="preserve">Observer la fiche de stock </w:t>
      </w:r>
      <w:r>
        <w:rPr>
          <w:b/>
          <w:sz w:val="20"/>
          <w:szCs w:val="20"/>
        </w:rPr>
        <w:t>de la batavia</w:t>
      </w:r>
      <w:r w:rsidRPr="00E20A31">
        <w:rPr>
          <w:b/>
          <w:sz w:val="20"/>
          <w:szCs w:val="20"/>
        </w:rPr>
        <w:t>.</w:t>
      </w:r>
    </w:p>
    <w:p w:rsidR="0073316E" w:rsidRPr="00C84A44" w:rsidRDefault="00161D9F">
      <w:pPr>
        <w:rPr>
          <w:sz w:val="20"/>
          <w:szCs w:val="20"/>
        </w:rPr>
      </w:pPr>
      <w:r>
        <w:rPr>
          <w:sz w:val="20"/>
          <w:szCs w:val="20"/>
        </w:rPr>
        <w:t xml:space="preserve">Quantifier le </w:t>
      </w:r>
      <w:r w:rsidR="0073316E" w:rsidRPr="00C84A44">
        <w:rPr>
          <w:sz w:val="20"/>
          <w:szCs w:val="20"/>
        </w:rPr>
        <w:t>stock initial 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Quantifier le stock final ?</w:t>
      </w:r>
    </w:p>
    <w:p w:rsidR="0073316E" w:rsidRPr="00C84A44" w:rsidRDefault="0073316E">
      <w:pPr>
        <w:rPr>
          <w:sz w:val="20"/>
          <w:szCs w:val="20"/>
        </w:rPr>
      </w:pPr>
      <w:r w:rsidRPr="00C84A44">
        <w:rPr>
          <w:sz w:val="20"/>
          <w:szCs w:val="20"/>
        </w:rPr>
        <w:t>Justifier par le calcul la valeur de l’entrée du 05/01.</w:t>
      </w:r>
    </w:p>
    <w:p w:rsidR="0073316E" w:rsidRPr="00C84A44" w:rsidRDefault="0073316E">
      <w:pPr>
        <w:rPr>
          <w:sz w:val="20"/>
          <w:szCs w:val="20"/>
        </w:rPr>
      </w:pPr>
    </w:p>
    <w:p w:rsidR="0073316E" w:rsidRPr="00C84A44" w:rsidRDefault="0073316E">
      <w:pPr>
        <w:rPr>
          <w:sz w:val="20"/>
          <w:szCs w:val="20"/>
        </w:rPr>
      </w:pPr>
      <w:r w:rsidRPr="00C84A44">
        <w:rPr>
          <w:sz w:val="20"/>
          <w:szCs w:val="20"/>
        </w:rPr>
        <w:t>Justifier fiscalement le recours à une évaluation TTC</w:t>
      </w:r>
      <w:r w:rsidR="00685505">
        <w:rPr>
          <w:sz w:val="20"/>
          <w:szCs w:val="20"/>
        </w:rPr>
        <w:t xml:space="preserve"> des stocks</w:t>
      </w:r>
      <w:r w:rsidRPr="00C84A44">
        <w:rPr>
          <w:sz w:val="20"/>
          <w:szCs w:val="20"/>
        </w:rPr>
        <w:t>.</w:t>
      </w:r>
    </w:p>
    <w:p w:rsidR="0073316E" w:rsidRPr="00C84A44" w:rsidRDefault="0073316E">
      <w:pPr>
        <w:rPr>
          <w:sz w:val="20"/>
          <w:szCs w:val="20"/>
        </w:rPr>
      </w:pPr>
    </w:p>
    <w:p w:rsidR="0073316E" w:rsidRPr="00C84A44" w:rsidRDefault="0073316E">
      <w:pPr>
        <w:rPr>
          <w:sz w:val="20"/>
          <w:szCs w:val="20"/>
        </w:rPr>
      </w:pPr>
      <w:r w:rsidRPr="00C84A44">
        <w:rPr>
          <w:sz w:val="20"/>
          <w:szCs w:val="20"/>
        </w:rPr>
        <w:t>Justifier le PU HT de sortie du 06/01.</w:t>
      </w:r>
    </w:p>
    <w:p w:rsidR="0073316E" w:rsidRPr="00C84A44" w:rsidRDefault="0073316E">
      <w:pPr>
        <w:rPr>
          <w:sz w:val="20"/>
          <w:szCs w:val="20"/>
        </w:rPr>
      </w:pPr>
    </w:p>
    <w:p w:rsidR="0073316E" w:rsidRPr="00C84A44" w:rsidRDefault="00E20A31">
      <w:pPr>
        <w:rPr>
          <w:sz w:val="20"/>
          <w:szCs w:val="20"/>
        </w:rPr>
      </w:pPr>
      <w:r>
        <w:rPr>
          <w:sz w:val="20"/>
          <w:szCs w:val="20"/>
        </w:rPr>
        <w:t>Quantifier le stock au</w:t>
      </w:r>
      <w:r w:rsidR="0073316E" w:rsidRPr="00C84A44">
        <w:rPr>
          <w:sz w:val="20"/>
          <w:szCs w:val="20"/>
        </w:rPr>
        <w:t xml:space="preserve"> 15/01 au soir ?</w:t>
      </w:r>
    </w:p>
    <w:p w:rsidR="00C84A44" w:rsidRPr="00C84A44" w:rsidRDefault="00C84A44">
      <w:pPr>
        <w:rPr>
          <w:sz w:val="20"/>
          <w:szCs w:val="20"/>
        </w:rPr>
      </w:pPr>
      <w:r w:rsidRPr="00C84A44">
        <w:rPr>
          <w:sz w:val="20"/>
          <w:szCs w:val="20"/>
        </w:rPr>
        <w:t>Compléter le tableau de mouvement des stocks entre le 23 et le 26 janvier.</w:t>
      </w:r>
    </w:p>
    <w:p w:rsidR="00C84A44" w:rsidRPr="00C84A44" w:rsidRDefault="00C84A44">
      <w:pPr>
        <w:rPr>
          <w:sz w:val="20"/>
          <w:szCs w:val="20"/>
        </w:rPr>
      </w:pPr>
      <w:r w:rsidRPr="00C84A44">
        <w:rPr>
          <w:sz w:val="20"/>
          <w:szCs w:val="20"/>
        </w:rPr>
        <w:t>Retrouver le nouveau coût d’achat moyen.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165"/>
        <w:gridCol w:w="2303"/>
      </w:tblGrid>
      <w:tr w:rsidR="00C84A44" w:rsidRPr="00C84A44" w:rsidTr="00C84A44">
        <w:tc>
          <w:tcPr>
            <w:tcW w:w="2303" w:type="dxa"/>
          </w:tcPr>
          <w:p w:rsidR="00C84A44" w:rsidRPr="00C84A44" w:rsidRDefault="00C84A44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C84A44" w:rsidRPr="00C84A44" w:rsidRDefault="00C84A44" w:rsidP="00D151EF">
            <w:pPr>
              <w:jc w:val="center"/>
              <w:rPr>
                <w:sz w:val="20"/>
                <w:szCs w:val="20"/>
              </w:rPr>
            </w:pPr>
            <w:r w:rsidRPr="00C84A44">
              <w:rPr>
                <w:sz w:val="20"/>
                <w:szCs w:val="20"/>
              </w:rPr>
              <w:t>Quantité</w:t>
            </w:r>
          </w:p>
        </w:tc>
        <w:tc>
          <w:tcPr>
            <w:tcW w:w="2165" w:type="dxa"/>
          </w:tcPr>
          <w:p w:rsidR="00C84A44" w:rsidRPr="0072611D" w:rsidRDefault="00C84A44" w:rsidP="00D151EF">
            <w:pPr>
              <w:jc w:val="center"/>
              <w:rPr>
                <w:b/>
                <w:sz w:val="28"/>
                <w:szCs w:val="28"/>
              </w:rPr>
            </w:pPr>
            <w:r w:rsidRPr="0072611D">
              <w:rPr>
                <w:b/>
                <w:sz w:val="28"/>
                <w:szCs w:val="28"/>
              </w:rPr>
              <w:t>PU HT</w:t>
            </w:r>
          </w:p>
        </w:tc>
        <w:tc>
          <w:tcPr>
            <w:tcW w:w="2303" w:type="dxa"/>
          </w:tcPr>
          <w:p w:rsidR="00C84A44" w:rsidRPr="0072611D" w:rsidRDefault="00C84A44" w:rsidP="00D151EF">
            <w:pPr>
              <w:jc w:val="center"/>
              <w:rPr>
                <w:b/>
                <w:sz w:val="28"/>
                <w:szCs w:val="28"/>
              </w:rPr>
            </w:pPr>
            <w:r w:rsidRPr="0072611D">
              <w:rPr>
                <w:b/>
                <w:sz w:val="28"/>
                <w:szCs w:val="28"/>
              </w:rPr>
              <w:t>Total TTC</w:t>
            </w:r>
          </w:p>
        </w:tc>
      </w:tr>
      <w:tr w:rsidR="00C84A44" w:rsidRPr="00C84A44" w:rsidTr="00C84A44">
        <w:trPr>
          <w:trHeight w:val="397"/>
        </w:trPr>
        <w:tc>
          <w:tcPr>
            <w:tcW w:w="2303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  <w:r w:rsidRPr="00C84A44">
              <w:rPr>
                <w:sz w:val="20"/>
                <w:szCs w:val="20"/>
              </w:rPr>
              <w:t>Stock initial au 23/01</w:t>
            </w:r>
          </w:p>
        </w:tc>
        <w:tc>
          <w:tcPr>
            <w:tcW w:w="2303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</w:p>
        </w:tc>
      </w:tr>
      <w:tr w:rsidR="00C84A44" w:rsidRPr="00C84A44" w:rsidTr="00C84A44">
        <w:trPr>
          <w:trHeight w:val="397"/>
        </w:trPr>
        <w:tc>
          <w:tcPr>
            <w:tcW w:w="2303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  <w:r w:rsidRPr="00C84A44">
              <w:rPr>
                <w:sz w:val="20"/>
                <w:szCs w:val="20"/>
              </w:rPr>
              <w:t>Entrée du 23/01</w:t>
            </w:r>
          </w:p>
        </w:tc>
        <w:tc>
          <w:tcPr>
            <w:tcW w:w="2303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</w:p>
        </w:tc>
      </w:tr>
      <w:tr w:rsidR="00C84A44" w:rsidRPr="00C84A44" w:rsidTr="00C84A44">
        <w:trPr>
          <w:trHeight w:val="397"/>
        </w:trPr>
        <w:tc>
          <w:tcPr>
            <w:tcW w:w="2303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  <w:r w:rsidRPr="00C84A44">
              <w:rPr>
                <w:sz w:val="20"/>
                <w:szCs w:val="20"/>
              </w:rPr>
              <w:t>Entrée du 26/01</w:t>
            </w:r>
          </w:p>
        </w:tc>
        <w:tc>
          <w:tcPr>
            <w:tcW w:w="2303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</w:p>
        </w:tc>
      </w:tr>
      <w:tr w:rsidR="00C84A44" w:rsidRPr="0072611D" w:rsidTr="00C84A44">
        <w:trPr>
          <w:trHeight w:val="397"/>
        </w:trPr>
        <w:tc>
          <w:tcPr>
            <w:tcW w:w="2303" w:type="dxa"/>
            <w:vAlign w:val="center"/>
          </w:tcPr>
          <w:p w:rsidR="00C84A44" w:rsidRPr="0072611D" w:rsidRDefault="00C84A44" w:rsidP="00C84A44">
            <w:pPr>
              <w:rPr>
                <w:b/>
                <w:sz w:val="20"/>
                <w:szCs w:val="20"/>
              </w:rPr>
            </w:pPr>
            <w:r w:rsidRPr="0072611D">
              <w:rPr>
                <w:b/>
                <w:sz w:val="20"/>
                <w:szCs w:val="20"/>
              </w:rPr>
              <w:t>Coût d’achat moyen</w:t>
            </w:r>
          </w:p>
        </w:tc>
        <w:tc>
          <w:tcPr>
            <w:tcW w:w="2303" w:type="dxa"/>
            <w:vAlign w:val="center"/>
          </w:tcPr>
          <w:p w:rsidR="00C84A44" w:rsidRPr="0072611D" w:rsidRDefault="00C84A44" w:rsidP="00C84A44">
            <w:pPr>
              <w:rPr>
                <w:b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402872" w:rsidRPr="0072611D" w:rsidRDefault="00402872" w:rsidP="00C84A44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C84A44" w:rsidRPr="0072611D" w:rsidRDefault="00C84A44" w:rsidP="00C84A44">
            <w:pPr>
              <w:rPr>
                <w:b/>
                <w:sz w:val="20"/>
                <w:szCs w:val="20"/>
              </w:rPr>
            </w:pPr>
          </w:p>
        </w:tc>
      </w:tr>
    </w:tbl>
    <w:p w:rsidR="00800B8E" w:rsidRDefault="00800B8E">
      <w:pPr>
        <w:rPr>
          <w:sz w:val="20"/>
          <w:szCs w:val="20"/>
        </w:rPr>
      </w:pPr>
    </w:p>
    <w:p w:rsidR="00402872" w:rsidRPr="00C84A44" w:rsidRDefault="00402872">
      <w:pPr>
        <w:rPr>
          <w:sz w:val="20"/>
          <w:szCs w:val="20"/>
        </w:rPr>
      </w:pPr>
      <w:r>
        <w:rPr>
          <w:sz w:val="20"/>
          <w:szCs w:val="20"/>
        </w:rPr>
        <w:t>En déduire la méthode d’évaluation des stocks.</w:t>
      </w:r>
    </w:p>
    <w:p w:rsidR="00C84A44" w:rsidRPr="00E20A31" w:rsidRDefault="00C84A44">
      <w:pPr>
        <w:rPr>
          <w:b/>
          <w:sz w:val="20"/>
          <w:szCs w:val="20"/>
        </w:rPr>
      </w:pPr>
      <w:r w:rsidRPr="00E20A31">
        <w:rPr>
          <w:b/>
          <w:sz w:val="20"/>
          <w:szCs w:val="20"/>
        </w:rPr>
        <w:t>Observer la fiche de stock des yaourts sucrés nature ½ écrémé.</w:t>
      </w:r>
    </w:p>
    <w:p w:rsidR="00C84A44" w:rsidRPr="00C84A44" w:rsidRDefault="00C84A44" w:rsidP="00C84A44">
      <w:pPr>
        <w:rPr>
          <w:sz w:val="20"/>
          <w:szCs w:val="20"/>
        </w:rPr>
      </w:pPr>
      <w:r w:rsidRPr="00C84A44">
        <w:rPr>
          <w:sz w:val="20"/>
          <w:szCs w:val="20"/>
        </w:rPr>
        <w:t>Compléter le tableau de mouvement des stocks entre le 5 et le 12 janvier.</w:t>
      </w:r>
    </w:p>
    <w:p w:rsidR="00C84A44" w:rsidRPr="00C84A44" w:rsidRDefault="00C84A44" w:rsidP="00C84A44">
      <w:pPr>
        <w:rPr>
          <w:sz w:val="20"/>
          <w:szCs w:val="20"/>
        </w:rPr>
      </w:pPr>
      <w:r w:rsidRPr="00C84A44">
        <w:rPr>
          <w:sz w:val="20"/>
          <w:szCs w:val="20"/>
        </w:rPr>
        <w:t>Retrouver le nouveau coût d’achat moyen d’évaluation des sorties entre le 6 et le 12 janvier.</w:t>
      </w:r>
    </w:p>
    <w:tbl>
      <w:tblPr>
        <w:tblStyle w:val="Grilledutableau"/>
        <w:tblW w:w="9039" w:type="dxa"/>
        <w:tblLook w:val="04A0"/>
      </w:tblPr>
      <w:tblGrid>
        <w:gridCol w:w="3085"/>
        <w:gridCol w:w="1985"/>
        <w:gridCol w:w="1950"/>
        <w:gridCol w:w="2019"/>
      </w:tblGrid>
      <w:tr w:rsidR="00C84A44" w:rsidRPr="00C84A44" w:rsidTr="00C84A44">
        <w:tc>
          <w:tcPr>
            <w:tcW w:w="3085" w:type="dxa"/>
          </w:tcPr>
          <w:p w:rsidR="00C84A44" w:rsidRPr="00C84A44" w:rsidRDefault="00C84A44" w:rsidP="00D151E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84A44" w:rsidRPr="00C84A44" w:rsidRDefault="00C84A44" w:rsidP="00C84A44">
            <w:pPr>
              <w:jc w:val="center"/>
              <w:rPr>
                <w:sz w:val="20"/>
                <w:szCs w:val="20"/>
              </w:rPr>
            </w:pPr>
            <w:r w:rsidRPr="00C84A44">
              <w:rPr>
                <w:sz w:val="20"/>
                <w:szCs w:val="20"/>
              </w:rPr>
              <w:t>Quantité</w:t>
            </w:r>
          </w:p>
        </w:tc>
        <w:tc>
          <w:tcPr>
            <w:tcW w:w="1950" w:type="dxa"/>
          </w:tcPr>
          <w:p w:rsidR="00C84A44" w:rsidRPr="0072611D" w:rsidRDefault="00C84A44" w:rsidP="00C84A44">
            <w:pPr>
              <w:jc w:val="center"/>
              <w:rPr>
                <w:b/>
                <w:sz w:val="28"/>
                <w:szCs w:val="28"/>
              </w:rPr>
            </w:pPr>
            <w:r w:rsidRPr="0072611D">
              <w:rPr>
                <w:b/>
                <w:sz w:val="28"/>
                <w:szCs w:val="28"/>
              </w:rPr>
              <w:t>PU HT</w:t>
            </w:r>
          </w:p>
        </w:tc>
        <w:tc>
          <w:tcPr>
            <w:tcW w:w="2019" w:type="dxa"/>
          </w:tcPr>
          <w:p w:rsidR="00C84A44" w:rsidRPr="0072611D" w:rsidRDefault="00C84A44" w:rsidP="00C84A44">
            <w:pPr>
              <w:jc w:val="center"/>
              <w:rPr>
                <w:b/>
                <w:sz w:val="28"/>
                <w:szCs w:val="28"/>
              </w:rPr>
            </w:pPr>
            <w:r w:rsidRPr="0072611D">
              <w:rPr>
                <w:b/>
                <w:sz w:val="28"/>
                <w:szCs w:val="28"/>
              </w:rPr>
              <w:t>Total TTC</w:t>
            </w:r>
          </w:p>
        </w:tc>
      </w:tr>
      <w:tr w:rsidR="00C84A44" w:rsidRPr="00C84A44" w:rsidTr="00C84A44">
        <w:trPr>
          <w:trHeight w:val="397"/>
        </w:trPr>
        <w:tc>
          <w:tcPr>
            <w:tcW w:w="3085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  <w:r w:rsidRPr="00C84A44">
              <w:rPr>
                <w:sz w:val="20"/>
                <w:szCs w:val="20"/>
              </w:rPr>
              <w:t>Stock initial au 05/01</w:t>
            </w:r>
          </w:p>
        </w:tc>
        <w:tc>
          <w:tcPr>
            <w:tcW w:w="1985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</w:p>
        </w:tc>
      </w:tr>
      <w:tr w:rsidR="00C84A44" w:rsidRPr="00C84A44" w:rsidTr="00C84A44">
        <w:trPr>
          <w:trHeight w:val="397"/>
        </w:trPr>
        <w:tc>
          <w:tcPr>
            <w:tcW w:w="3085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  <w:r w:rsidRPr="00C84A44">
              <w:rPr>
                <w:sz w:val="20"/>
                <w:szCs w:val="20"/>
              </w:rPr>
              <w:t>Entrée du 05/01</w:t>
            </w:r>
          </w:p>
        </w:tc>
        <w:tc>
          <w:tcPr>
            <w:tcW w:w="1985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</w:p>
        </w:tc>
      </w:tr>
      <w:tr w:rsidR="00C84A44" w:rsidRPr="00C84A44" w:rsidTr="00C84A44">
        <w:trPr>
          <w:trHeight w:val="397"/>
        </w:trPr>
        <w:tc>
          <w:tcPr>
            <w:tcW w:w="3085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  <w:r w:rsidRPr="00C84A44">
              <w:rPr>
                <w:sz w:val="20"/>
                <w:szCs w:val="20"/>
              </w:rPr>
              <w:t>Sortie du 05/01</w:t>
            </w:r>
          </w:p>
        </w:tc>
        <w:tc>
          <w:tcPr>
            <w:tcW w:w="1985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</w:p>
        </w:tc>
      </w:tr>
      <w:tr w:rsidR="00C84A44" w:rsidRPr="0072611D" w:rsidTr="00C84A44">
        <w:trPr>
          <w:trHeight w:val="397"/>
        </w:trPr>
        <w:tc>
          <w:tcPr>
            <w:tcW w:w="3085" w:type="dxa"/>
            <w:vAlign w:val="center"/>
          </w:tcPr>
          <w:p w:rsidR="00C84A44" w:rsidRPr="0072611D" w:rsidRDefault="00C84A44" w:rsidP="00C84A44">
            <w:pPr>
              <w:rPr>
                <w:b/>
                <w:sz w:val="20"/>
                <w:szCs w:val="20"/>
              </w:rPr>
            </w:pPr>
            <w:r w:rsidRPr="0072611D">
              <w:rPr>
                <w:b/>
                <w:sz w:val="20"/>
                <w:szCs w:val="20"/>
              </w:rPr>
              <w:t>Stock final le 05/01</w:t>
            </w:r>
          </w:p>
        </w:tc>
        <w:tc>
          <w:tcPr>
            <w:tcW w:w="1985" w:type="dxa"/>
            <w:vAlign w:val="center"/>
          </w:tcPr>
          <w:p w:rsidR="00C84A44" w:rsidRPr="0072611D" w:rsidRDefault="00C84A44" w:rsidP="00C84A44">
            <w:pPr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C84A44" w:rsidRPr="0072611D" w:rsidRDefault="00C84A44" w:rsidP="00C84A44">
            <w:pPr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C84A44" w:rsidRPr="0072611D" w:rsidRDefault="00C84A44" w:rsidP="00C84A44">
            <w:pPr>
              <w:rPr>
                <w:b/>
                <w:sz w:val="20"/>
                <w:szCs w:val="20"/>
              </w:rPr>
            </w:pPr>
          </w:p>
        </w:tc>
      </w:tr>
      <w:tr w:rsidR="00C84A44" w:rsidRPr="00C84A44" w:rsidTr="00C84A44">
        <w:trPr>
          <w:trHeight w:val="397"/>
        </w:trPr>
        <w:tc>
          <w:tcPr>
            <w:tcW w:w="3085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  <w:r w:rsidRPr="00C84A44">
              <w:rPr>
                <w:sz w:val="20"/>
                <w:szCs w:val="20"/>
              </w:rPr>
              <w:t>Entrée du 06/01</w:t>
            </w:r>
          </w:p>
        </w:tc>
        <w:tc>
          <w:tcPr>
            <w:tcW w:w="1985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C84A44" w:rsidRPr="00C84A44" w:rsidRDefault="00C84A44" w:rsidP="00C84A44">
            <w:pPr>
              <w:rPr>
                <w:sz w:val="20"/>
                <w:szCs w:val="20"/>
              </w:rPr>
            </w:pPr>
          </w:p>
        </w:tc>
      </w:tr>
      <w:tr w:rsidR="00C84A44" w:rsidRPr="0072611D" w:rsidTr="003B6700">
        <w:trPr>
          <w:trHeight w:val="397"/>
        </w:trPr>
        <w:tc>
          <w:tcPr>
            <w:tcW w:w="3085" w:type="dxa"/>
            <w:vAlign w:val="center"/>
          </w:tcPr>
          <w:p w:rsidR="00C84A44" w:rsidRPr="0072611D" w:rsidRDefault="00C84A44" w:rsidP="003B6700">
            <w:pPr>
              <w:rPr>
                <w:b/>
                <w:sz w:val="20"/>
                <w:szCs w:val="20"/>
              </w:rPr>
            </w:pPr>
            <w:r w:rsidRPr="0072611D">
              <w:rPr>
                <w:b/>
                <w:sz w:val="20"/>
                <w:szCs w:val="20"/>
              </w:rPr>
              <w:t>Coût d’achat moyen le 06/01</w:t>
            </w:r>
          </w:p>
        </w:tc>
        <w:tc>
          <w:tcPr>
            <w:tcW w:w="1985" w:type="dxa"/>
            <w:vAlign w:val="center"/>
          </w:tcPr>
          <w:p w:rsidR="00C84A44" w:rsidRPr="0072611D" w:rsidRDefault="00C84A44" w:rsidP="003B6700">
            <w:pPr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C84A44" w:rsidRPr="0072611D" w:rsidRDefault="00C84A44" w:rsidP="003B6700">
            <w:pPr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C84A44" w:rsidRPr="0072611D" w:rsidRDefault="00C84A44" w:rsidP="003B6700">
            <w:pPr>
              <w:rPr>
                <w:b/>
                <w:sz w:val="20"/>
                <w:szCs w:val="20"/>
              </w:rPr>
            </w:pPr>
          </w:p>
        </w:tc>
      </w:tr>
    </w:tbl>
    <w:p w:rsidR="00161D9F" w:rsidRDefault="004C04D9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1838960</wp:posOffset>
            </wp:positionV>
            <wp:extent cx="7928610" cy="4625975"/>
            <wp:effectExtent l="0" t="1733550" r="0" b="1736725"/>
            <wp:wrapTight wrapText="bothSides">
              <wp:wrapPolygon edited="0">
                <wp:start x="21824" y="-594"/>
                <wp:lineTo x="18503" y="-683"/>
                <wp:lineTo x="183" y="-683"/>
                <wp:lineTo x="-233" y="-594"/>
                <wp:lineTo x="-233" y="21999"/>
                <wp:lineTo x="21824" y="21999"/>
                <wp:lineTo x="21824" y="-594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19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28610" cy="4625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61D9F">
        <w:rPr>
          <w:sz w:val="20"/>
          <w:szCs w:val="20"/>
        </w:rPr>
        <w:br w:type="page"/>
      </w:r>
    </w:p>
    <w:p w:rsidR="00161D9F" w:rsidRDefault="00C84A44">
      <w:pPr>
        <w:rPr>
          <w:sz w:val="20"/>
          <w:szCs w:val="20"/>
        </w:rPr>
      </w:pPr>
      <w:r w:rsidRPr="00C84A44">
        <w:rPr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7355986" cy="4299910"/>
            <wp:effectExtent l="0" t="1600200" r="0" b="16055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02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59864" cy="43021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61D9F" w:rsidRDefault="00161D9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85505" w:rsidRPr="00C84A44" w:rsidRDefault="00685505" w:rsidP="00685505">
      <w:pPr>
        <w:rPr>
          <w:sz w:val="20"/>
          <w:szCs w:val="20"/>
        </w:rPr>
      </w:pPr>
      <w:r w:rsidRPr="00C84A44">
        <w:rPr>
          <w:sz w:val="20"/>
          <w:szCs w:val="20"/>
        </w:rPr>
        <w:lastRenderedPageBreak/>
        <w:t>Justifier fiscalement le recours à une évaluation TTC</w:t>
      </w:r>
      <w:r>
        <w:rPr>
          <w:sz w:val="20"/>
          <w:szCs w:val="20"/>
        </w:rPr>
        <w:t xml:space="preserve"> des stocks</w:t>
      </w:r>
      <w:r w:rsidRPr="00C84A44">
        <w:rPr>
          <w:sz w:val="20"/>
          <w:szCs w:val="20"/>
        </w:rPr>
        <w:t>.</w:t>
      </w:r>
    </w:p>
    <w:p w:rsidR="00685505" w:rsidRPr="00685505" w:rsidRDefault="00685505">
      <w:pPr>
        <w:rPr>
          <w:i/>
          <w:sz w:val="20"/>
          <w:szCs w:val="20"/>
        </w:rPr>
      </w:pPr>
      <w:r w:rsidRPr="00685505">
        <w:rPr>
          <w:i/>
          <w:sz w:val="20"/>
          <w:szCs w:val="20"/>
        </w:rPr>
        <w:t>L’établissement ne peut pas récupérer la TVA. Les coûts d’achat sont TTC.</w:t>
      </w:r>
    </w:p>
    <w:p w:rsidR="00161D9F" w:rsidRDefault="00161D9F">
      <w:pPr>
        <w:rPr>
          <w:sz w:val="20"/>
          <w:szCs w:val="20"/>
        </w:rPr>
      </w:pPr>
      <w:r>
        <w:rPr>
          <w:sz w:val="20"/>
          <w:szCs w:val="20"/>
        </w:rPr>
        <w:t>Début d’élément de correction.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165"/>
        <w:gridCol w:w="2303"/>
      </w:tblGrid>
      <w:tr w:rsidR="00161D9F" w:rsidRPr="00C84A44" w:rsidTr="002C5BA9">
        <w:tc>
          <w:tcPr>
            <w:tcW w:w="2303" w:type="dxa"/>
          </w:tcPr>
          <w:p w:rsidR="00161D9F" w:rsidRPr="00C84A44" w:rsidRDefault="00161D9F" w:rsidP="002C5BA9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61D9F" w:rsidRPr="00C84A44" w:rsidRDefault="00161D9F" w:rsidP="002C5BA9">
            <w:pPr>
              <w:jc w:val="center"/>
              <w:rPr>
                <w:sz w:val="20"/>
                <w:szCs w:val="20"/>
              </w:rPr>
            </w:pPr>
            <w:r w:rsidRPr="00C84A44">
              <w:rPr>
                <w:sz w:val="20"/>
                <w:szCs w:val="20"/>
              </w:rPr>
              <w:t>Quantité</w:t>
            </w:r>
          </w:p>
        </w:tc>
        <w:tc>
          <w:tcPr>
            <w:tcW w:w="2165" w:type="dxa"/>
          </w:tcPr>
          <w:p w:rsidR="00161D9F" w:rsidRPr="00C84A44" w:rsidRDefault="00161D9F" w:rsidP="002C5BA9">
            <w:pPr>
              <w:jc w:val="center"/>
              <w:rPr>
                <w:sz w:val="20"/>
                <w:szCs w:val="20"/>
              </w:rPr>
            </w:pPr>
            <w:r w:rsidRPr="00C84A44">
              <w:rPr>
                <w:sz w:val="20"/>
                <w:szCs w:val="20"/>
              </w:rPr>
              <w:t>PU HT</w:t>
            </w:r>
          </w:p>
        </w:tc>
        <w:tc>
          <w:tcPr>
            <w:tcW w:w="2303" w:type="dxa"/>
          </w:tcPr>
          <w:p w:rsidR="00161D9F" w:rsidRPr="00C84A44" w:rsidRDefault="00161D9F" w:rsidP="002C5BA9">
            <w:pPr>
              <w:jc w:val="center"/>
              <w:rPr>
                <w:sz w:val="20"/>
                <w:szCs w:val="20"/>
              </w:rPr>
            </w:pPr>
            <w:r w:rsidRPr="00C84A44">
              <w:rPr>
                <w:sz w:val="20"/>
                <w:szCs w:val="20"/>
              </w:rPr>
              <w:t>Total TTC</w:t>
            </w:r>
          </w:p>
        </w:tc>
      </w:tr>
      <w:tr w:rsidR="00161D9F" w:rsidRPr="00C84A44" w:rsidTr="0072611D">
        <w:trPr>
          <w:trHeight w:val="397"/>
        </w:trPr>
        <w:tc>
          <w:tcPr>
            <w:tcW w:w="2303" w:type="dxa"/>
            <w:vAlign w:val="center"/>
          </w:tcPr>
          <w:p w:rsidR="00161D9F" w:rsidRPr="00C84A44" w:rsidRDefault="00161D9F" w:rsidP="002C5BA9">
            <w:pPr>
              <w:rPr>
                <w:sz w:val="20"/>
                <w:szCs w:val="20"/>
              </w:rPr>
            </w:pPr>
            <w:r w:rsidRPr="00C84A44">
              <w:rPr>
                <w:sz w:val="20"/>
                <w:szCs w:val="20"/>
              </w:rPr>
              <w:t>Stock initial au 23/01</w:t>
            </w:r>
          </w:p>
        </w:tc>
        <w:tc>
          <w:tcPr>
            <w:tcW w:w="2303" w:type="dxa"/>
            <w:vAlign w:val="center"/>
          </w:tcPr>
          <w:p w:rsidR="00161D9F" w:rsidRPr="00685505" w:rsidRDefault="00161D9F" w:rsidP="0072611D">
            <w:pPr>
              <w:jc w:val="right"/>
              <w:rPr>
                <w:i/>
                <w:sz w:val="20"/>
                <w:szCs w:val="20"/>
              </w:rPr>
            </w:pPr>
            <w:r w:rsidRPr="0068550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vAlign w:val="center"/>
          </w:tcPr>
          <w:p w:rsidR="00161D9F" w:rsidRPr="00685505" w:rsidRDefault="00161D9F" w:rsidP="0072611D">
            <w:pPr>
              <w:jc w:val="right"/>
              <w:rPr>
                <w:i/>
                <w:sz w:val="20"/>
                <w:szCs w:val="20"/>
              </w:rPr>
            </w:pPr>
            <w:r w:rsidRPr="0068550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303" w:type="dxa"/>
            <w:vAlign w:val="center"/>
          </w:tcPr>
          <w:p w:rsidR="00161D9F" w:rsidRPr="00685505" w:rsidRDefault="00161D9F" w:rsidP="0072611D">
            <w:pPr>
              <w:jc w:val="right"/>
              <w:rPr>
                <w:i/>
                <w:sz w:val="20"/>
                <w:szCs w:val="20"/>
              </w:rPr>
            </w:pPr>
            <w:r w:rsidRPr="00685505">
              <w:rPr>
                <w:i/>
                <w:sz w:val="20"/>
                <w:szCs w:val="20"/>
              </w:rPr>
              <w:t>0</w:t>
            </w:r>
          </w:p>
        </w:tc>
      </w:tr>
      <w:tr w:rsidR="00161D9F" w:rsidRPr="00C84A44" w:rsidTr="0072611D">
        <w:trPr>
          <w:trHeight w:val="397"/>
        </w:trPr>
        <w:tc>
          <w:tcPr>
            <w:tcW w:w="2303" w:type="dxa"/>
            <w:vAlign w:val="center"/>
          </w:tcPr>
          <w:p w:rsidR="00161D9F" w:rsidRPr="00C84A44" w:rsidRDefault="00161D9F" w:rsidP="002C5BA9">
            <w:pPr>
              <w:rPr>
                <w:sz w:val="20"/>
                <w:szCs w:val="20"/>
              </w:rPr>
            </w:pPr>
            <w:r w:rsidRPr="00C84A44">
              <w:rPr>
                <w:sz w:val="20"/>
                <w:szCs w:val="20"/>
              </w:rPr>
              <w:t>Entrée du 23/01</w:t>
            </w:r>
          </w:p>
        </w:tc>
        <w:tc>
          <w:tcPr>
            <w:tcW w:w="2303" w:type="dxa"/>
            <w:vAlign w:val="center"/>
          </w:tcPr>
          <w:p w:rsidR="00161D9F" w:rsidRPr="00685505" w:rsidRDefault="00161D9F" w:rsidP="0072611D">
            <w:pPr>
              <w:jc w:val="right"/>
              <w:rPr>
                <w:i/>
                <w:sz w:val="20"/>
                <w:szCs w:val="20"/>
              </w:rPr>
            </w:pPr>
            <w:r w:rsidRPr="00685505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2165" w:type="dxa"/>
            <w:vAlign w:val="center"/>
          </w:tcPr>
          <w:p w:rsidR="00161D9F" w:rsidRPr="00685505" w:rsidRDefault="00161D9F" w:rsidP="0072611D">
            <w:pPr>
              <w:jc w:val="right"/>
              <w:rPr>
                <w:i/>
                <w:sz w:val="20"/>
                <w:szCs w:val="20"/>
              </w:rPr>
            </w:pPr>
            <w:r w:rsidRPr="00685505">
              <w:rPr>
                <w:i/>
                <w:sz w:val="20"/>
                <w:szCs w:val="20"/>
              </w:rPr>
              <w:t>0.75</w:t>
            </w:r>
          </w:p>
        </w:tc>
        <w:tc>
          <w:tcPr>
            <w:tcW w:w="2303" w:type="dxa"/>
            <w:vAlign w:val="center"/>
          </w:tcPr>
          <w:p w:rsidR="00161D9F" w:rsidRPr="00685505" w:rsidRDefault="00161D9F" w:rsidP="0072611D">
            <w:pPr>
              <w:jc w:val="right"/>
              <w:rPr>
                <w:i/>
                <w:sz w:val="20"/>
                <w:szCs w:val="20"/>
              </w:rPr>
            </w:pPr>
            <w:r w:rsidRPr="00685505">
              <w:rPr>
                <w:i/>
                <w:sz w:val="20"/>
                <w:szCs w:val="20"/>
              </w:rPr>
              <w:t>14.242</w:t>
            </w:r>
          </w:p>
        </w:tc>
      </w:tr>
      <w:tr w:rsidR="00161D9F" w:rsidRPr="00C84A44" w:rsidTr="0072611D">
        <w:trPr>
          <w:trHeight w:val="397"/>
        </w:trPr>
        <w:tc>
          <w:tcPr>
            <w:tcW w:w="2303" w:type="dxa"/>
            <w:vAlign w:val="center"/>
          </w:tcPr>
          <w:p w:rsidR="00161D9F" w:rsidRPr="00C84A44" w:rsidRDefault="00161D9F" w:rsidP="002C5BA9">
            <w:pPr>
              <w:rPr>
                <w:sz w:val="20"/>
                <w:szCs w:val="20"/>
              </w:rPr>
            </w:pPr>
            <w:r w:rsidRPr="00C84A44">
              <w:rPr>
                <w:sz w:val="20"/>
                <w:szCs w:val="20"/>
              </w:rPr>
              <w:t>Entrée du 26/01</w:t>
            </w:r>
          </w:p>
        </w:tc>
        <w:tc>
          <w:tcPr>
            <w:tcW w:w="2303" w:type="dxa"/>
            <w:vAlign w:val="center"/>
          </w:tcPr>
          <w:p w:rsidR="00161D9F" w:rsidRPr="00685505" w:rsidRDefault="00161D9F" w:rsidP="0072611D">
            <w:pPr>
              <w:jc w:val="right"/>
              <w:rPr>
                <w:i/>
                <w:sz w:val="20"/>
                <w:szCs w:val="20"/>
              </w:rPr>
            </w:pPr>
            <w:r w:rsidRPr="00685505"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2165" w:type="dxa"/>
            <w:vAlign w:val="center"/>
          </w:tcPr>
          <w:p w:rsidR="00161D9F" w:rsidRPr="00685505" w:rsidRDefault="00161D9F" w:rsidP="0072611D">
            <w:pPr>
              <w:jc w:val="right"/>
              <w:rPr>
                <w:i/>
                <w:sz w:val="20"/>
                <w:szCs w:val="20"/>
              </w:rPr>
            </w:pPr>
            <w:r w:rsidRPr="00685505">
              <w:rPr>
                <w:i/>
                <w:sz w:val="20"/>
                <w:szCs w:val="20"/>
              </w:rPr>
              <w:t>1.05</w:t>
            </w:r>
          </w:p>
        </w:tc>
        <w:tc>
          <w:tcPr>
            <w:tcW w:w="2303" w:type="dxa"/>
            <w:vAlign w:val="center"/>
          </w:tcPr>
          <w:p w:rsidR="00161D9F" w:rsidRPr="00685505" w:rsidRDefault="00161D9F" w:rsidP="0072611D">
            <w:pPr>
              <w:jc w:val="right"/>
              <w:rPr>
                <w:i/>
                <w:sz w:val="20"/>
                <w:szCs w:val="20"/>
              </w:rPr>
            </w:pPr>
            <w:r w:rsidRPr="00685505">
              <w:rPr>
                <w:i/>
                <w:sz w:val="20"/>
                <w:szCs w:val="20"/>
              </w:rPr>
              <w:t>73.111</w:t>
            </w:r>
          </w:p>
        </w:tc>
      </w:tr>
      <w:tr w:rsidR="00161D9F" w:rsidRPr="00C84A44" w:rsidTr="0072611D">
        <w:trPr>
          <w:trHeight w:val="397"/>
        </w:trPr>
        <w:tc>
          <w:tcPr>
            <w:tcW w:w="2303" w:type="dxa"/>
            <w:vAlign w:val="center"/>
          </w:tcPr>
          <w:p w:rsidR="00161D9F" w:rsidRPr="00C84A44" w:rsidRDefault="00161D9F" w:rsidP="002C5BA9">
            <w:pPr>
              <w:rPr>
                <w:sz w:val="20"/>
                <w:szCs w:val="20"/>
              </w:rPr>
            </w:pPr>
            <w:r w:rsidRPr="00C84A44">
              <w:rPr>
                <w:sz w:val="20"/>
                <w:szCs w:val="20"/>
              </w:rPr>
              <w:t>Coût d’achat moyen</w:t>
            </w:r>
          </w:p>
        </w:tc>
        <w:tc>
          <w:tcPr>
            <w:tcW w:w="2303" w:type="dxa"/>
            <w:vAlign w:val="center"/>
          </w:tcPr>
          <w:p w:rsidR="00161D9F" w:rsidRPr="00685505" w:rsidRDefault="00161D9F" w:rsidP="0072611D">
            <w:pPr>
              <w:jc w:val="right"/>
              <w:rPr>
                <w:b/>
                <w:i/>
                <w:sz w:val="20"/>
                <w:szCs w:val="20"/>
              </w:rPr>
            </w:pPr>
            <w:r w:rsidRPr="00685505">
              <w:rPr>
                <w:b/>
                <w:i/>
                <w:sz w:val="20"/>
                <w:szCs w:val="20"/>
              </w:rPr>
              <w:t>84</w:t>
            </w:r>
          </w:p>
        </w:tc>
        <w:tc>
          <w:tcPr>
            <w:tcW w:w="2165" w:type="dxa"/>
            <w:vAlign w:val="center"/>
          </w:tcPr>
          <w:p w:rsidR="00161D9F" w:rsidRPr="00685505" w:rsidRDefault="00161D9F" w:rsidP="0072611D">
            <w:pPr>
              <w:jc w:val="right"/>
              <w:rPr>
                <w:b/>
                <w:i/>
                <w:sz w:val="20"/>
                <w:szCs w:val="20"/>
              </w:rPr>
            </w:pPr>
            <w:r w:rsidRPr="00685505">
              <w:rPr>
                <w:b/>
                <w:i/>
                <w:sz w:val="20"/>
                <w:szCs w:val="20"/>
              </w:rPr>
              <w:t xml:space="preserve">87.353/84 = </w:t>
            </w:r>
            <w:r w:rsidR="0072611D" w:rsidRPr="00685505">
              <w:rPr>
                <w:b/>
                <w:i/>
                <w:sz w:val="20"/>
                <w:szCs w:val="20"/>
              </w:rPr>
              <w:t xml:space="preserve">CMUP </w:t>
            </w:r>
            <w:r w:rsidRPr="00685505">
              <w:rPr>
                <w:b/>
                <w:i/>
                <w:sz w:val="20"/>
                <w:szCs w:val="20"/>
              </w:rPr>
              <w:t>TTC soit</w:t>
            </w:r>
            <w:r w:rsidR="0072611D" w:rsidRPr="00685505">
              <w:rPr>
                <w:b/>
                <w:i/>
                <w:sz w:val="20"/>
                <w:szCs w:val="20"/>
              </w:rPr>
              <w:t xml:space="preserve"> </w:t>
            </w:r>
            <w:r w:rsidRPr="00685505">
              <w:rPr>
                <w:b/>
                <w:i/>
                <w:sz w:val="20"/>
                <w:szCs w:val="20"/>
              </w:rPr>
              <w:t>1.039</w:t>
            </w:r>
          </w:p>
          <w:p w:rsidR="00161D9F" w:rsidRPr="00685505" w:rsidRDefault="00161D9F" w:rsidP="0072611D">
            <w:pPr>
              <w:jc w:val="right"/>
              <w:rPr>
                <w:b/>
                <w:i/>
                <w:sz w:val="20"/>
                <w:szCs w:val="20"/>
              </w:rPr>
            </w:pPr>
            <w:r w:rsidRPr="00685505">
              <w:rPr>
                <w:b/>
                <w:i/>
                <w:sz w:val="20"/>
                <w:szCs w:val="20"/>
              </w:rPr>
              <w:t xml:space="preserve">1.039/1.055 = </w:t>
            </w:r>
            <w:r w:rsidR="0072611D" w:rsidRPr="00685505">
              <w:rPr>
                <w:b/>
                <w:i/>
                <w:sz w:val="20"/>
                <w:szCs w:val="20"/>
              </w:rPr>
              <w:t xml:space="preserve">CMUP </w:t>
            </w:r>
            <w:r w:rsidRPr="00685505">
              <w:rPr>
                <w:b/>
                <w:i/>
                <w:sz w:val="20"/>
                <w:szCs w:val="20"/>
              </w:rPr>
              <w:t xml:space="preserve">HT soit </w:t>
            </w:r>
            <w:r w:rsidRPr="00685505">
              <w:rPr>
                <w:b/>
                <w:i/>
                <w:sz w:val="24"/>
                <w:szCs w:val="24"/>
                <w:highlight w:val="yellow"/>
              </w:rPr>
              <w:t>0.986</w:t>
            </w:r>
            <w:r w:rsidR="0072611D" w:rsidRPr="00685505">
              <w:rPr>
                <w:b/>
                <w:i/>
                <w:sz w:val="24"/>
                <w:szCs w:val="24"/>
              </w:rPr>
              <w:t xml:space="preserve"> HT</w:t>
            </w:r>
          </w:p>
        </w:tc>
        <w:tc>
          <w:tcPr>
            <w:tcW w:w="2303" w:type="dxa"/>
            <w:vAlign w:val="center"/>
          </w:tcPr>
          <w:p w:rsidR="00161D9F" w:rsidRPr="00685505" w:rsidRDefault="00161D9F" w:rsidP="0072611D">
            <w:pPr>
              <w:jc w:val="right"/>
              <w:rPr>
                <w:b/>
                <w:i/>
                <w:sz w:val="20"/>
                <w:szCs w:val="20"/>
              </w:rPr>
            </w:pPr>
            <w:r w:rsidRPr="00685505">
              <w:rPr>
                <w:b/>
                <w:i/>
                <w:sz w:val="20"/>
                <w:szCs w:val="20"/>
              </w:rPr>
              <w:t>87.353</w:t>
            </w:r>
          </w:p>
        </w:tc>
      </w:tr>
    </w:tbl>
    <w:p w:rsidR="00C84A44" w:rsidRDefault="00C84A44">
      <w:pPr>
        <w:rPr>
          <w:sz w:val="20"/>
          <w:szCs w:val="20"/>
        </w:rPr>
      </w:pPr>
    </w:p>
    <w:tbl>
      <w:tblPr>
        <w:tblStyle w:val="Grilledutableau"/>
        <w:tblW w:w="9039" w:type="dxa"/>
        <w:tblLook w:val="04A0"/>
      </w:tblPr>
      <w:tblGrid>
        <w:gridCol w:w="3085"/>
        <w:gridCol w:w="1985"/>
        <w:gridCol w:w="1950"/>
        <w:gridCol w:w="2019"/>
      </w:tblGrid>
      <w:tr w:rsidR="0072611D" w:rsidRPr="0072611D" w:rsidTr="00A55D10">
        <w:tc>
          <w:tcPr>
            <w:tcW w:w="3085" w:type="dxa"/>
          </w:tcPr>
          <w:p w:rsidR="0072611D" w:rsidRPr="00C84A44" w:rsidRDefault="0072611D" w:rsidP="00A55D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2611D" w:rsidRPr="00C84A44" w:rsidRDefault="0072611D" w:rsidP="00A55D10">
            <w:pPr>
              <w:jc w:val="center"/>
              <w:rPr>
                <w:sz w:val="20"/>
                <w:szCs w:val="20"/>
              </w:rPr>
            </w:pPr>
            <w:r w:rsidRPr="00C84A44">
              <w:rPr>
                <w:sz w:val="20"/>
                <w:szCs w:val="20"/>
              </w:rPr>
              <w:t>Quantité</w:t>
            </w:r>
          </w:p>
        </w:tc>
        <w:tc>
          <w:tcPr>
            <w:tcW w:w="1950" w:type="dxa"/>
          </w:tcPr>
          <w:p w:rsidR="0072611D" w:rsidRPr="0072611D" w:rsidRDefault="0072611D" w:rsidP="00A55D10">
            <w:pPr>
              <w:jc w:val="center"/>
              <w:rPr>
                <w:b/>
                <w:sz w:val="28"/>
                <w:szCs w:val="28"/>
              </w:rPr>
            </w:pPr>
            <w:r w:rsidRPr="0072611D">
              <w:rPr>
                <w:b/>
                <w:sz w:val="28"/>
                <w:szCs w:val="28"/>
              </w:rPr>
              <w:t>PU HT</w:t>
            </w:r>
          </w:p>
        </w:tc>
        <w:tc>
          <w:tcPr>
            <w:tcW w:w="2019" w:type="dxa"/>
          </w:tcPr>
          <w:p w:rsidR="0072611D" w:rsidRPr="0072611D" w:rsidRDefault="0072611D" w:rsidP="00A55D10">
            <w:pPr>
              <w:jc w:val="center"/>
              <w:rPr>
                <w:b/>
                <w:sz w:val="28"/>
                <w:szCs w:val="28"/>
              </w:rPr>
            </w:pPr>
            <w:r w:rsidRPr="0072611D">
              <w:rPr>
                <w:b/>
                <w:sz w:val="28"/>
                <w:szCs w:val="28"/>
              </w:rPr>
              <w:t>Total TTC</w:t>
            </w:r>
          </w:p>
        </w:tc>
      </w:tr>
      <w:tr w:rsidR="0072611D" w:rsidRPr="00C84A44" w:rsidTr="0072611D">
        <w:trPr>
          <w:trHeight w:val="397"/>
        </w:trPr>
        <w:tc>
          <w:tcPr>
            <w:tcW w:w="3085" w:type="dxa"/>
            <w:vAlign w:val="center"/>
          </w:tcPr>
          <w:p w:rsidR="0072611D" w:rsidRPr="00C84A44" w:rsidRDefault="0072611D" w:rsidP="00A55D10">
            <w:pPr>
              <w:rPr>
                <w:sz w:val="20"/>
                <w:szCs w:val="20"/>
              </w:rPr>
            </w:pPr>
            <w:r w:rsidRPr="00C84A44">
              <w:rPr>
                <w:sz w:val="20"/>
                <w:szCs w:val="20"/>
              </w:rPr>
              <w:t>Stock initial au 05/01</w:t>
            </w:r>
          </w:p>
        </w:tc>
        <w:tc>
          <w:tcPr>
            <w:tcW w:w="1985" w:type="dxa"/>
            <w:vAlign w:val="center"/>
          </w:tcPr>
          <w:p w:rsidR="0072611D" w:rsidRPr="00685505" w:rsidRDefault="0072611D" w:rsidP="0072611D">
            <w:pPr>
              <w:jc w:val="right"/>
              <w:rPr>
                <w:i/>
                <w:sz w:val="20"/>
                <w:szCs w:val="20"/>
              </w:rPr>
            </w:pPr>
            <w:r w:rsidRPr="0068550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50" w:type="dxa"/>
            <w:vAlign w:val="center"/>
          </w:tcPr>
          <w:p w:rsidR="0072611D" w:rsidRPr="00685505" w:rsidRDefault="0072611D" w:rsidP="0072611D">
            <w:pPr>
              <w:jc w:val="right"/>
              <w:rPr>
                <w:i/>
                <w:sz w:val="20"/>
                <w:szCs w:val="20"/>
              </w:rPr>
            </w:pPr>
            <w:r w:rsidRPr="0068550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019" w:type="dxa"/>
            <w:vAlign w:val="center"/>
          </w:tcPr>
          <w:p w:rsidR="0072611D" w:rsidRPr="00685505" w:rsidRDefault="0072611D" w:rsidP="0072611D">
            <w:pPr>
              <w:jc w:val="right"/>
              <w:rPr>
                <w:i/>
                <w:sz w:val="20"/>
                <w:szCs w:val="20"/>
              </w:rPr>
            </w:pPr>
            <w:r w:rsidRPr="00685505">
              <w:rPr>
                <w:i/>
                <w:sz w:val="20"/>
                <w:szCs w:val="20"/>
              </w:rPr>
              <w:t>0</w:t>
            </w:r>
          </w:p>
        </w:tc>
      </w:tr>
      <w:tr w:rsidR="0072611D" w:rsidRPr="00C84A44" w:rsidTr="0072611D">
        <w:trPr>
          <w:trHeight w:val="397"/>
        </w:trPr>
        <w:tc>
          <w:tcPr>
            <w:tcW w:w="3085" w:type="dxa"/>
            <w:vAlign w:val="center"/>
          </w:tcPr>
          <w:p w:rsidR="0072611D" w:rsidRPr="00C84A44" w:rsidRDefault="0072611D" w:rsidP="00A55D10">
            <w:pPr>
              <w:rPr>
                <w:sz w:val="20"/>
                <w:szCs w:val="20"/>
              </w:rPr>
            </w:pPr>
            <w:r w:rsidRPr="00C84A44">
              <w:rPr>
                <w:sz w:val="20"/>
                <w:szCs w:val="20"/>
              </w:rPr>
              <w:t>Entrée du 05/01</w:t>
            </w:r>
          </w:p>
        </w:tc>
        <w:tc>
          <w:tcPr>
            <w:tcW w:w="1985" w:type="dxa"/>
            <w:vAlign w:val="center"/>
          </w:tcPr>
          <w:p w:rsidR="0072611D" w:rsidRPr="00685505" w:rsidRDefault="0072611D" w:rsidP="0072611D">
            <w:pPr>
              <w:jc w:val="right"/>
              <w:rPr>
                <w:i/>
                <w:sz w:val="20"/>
                <w:szCs w:val="20"/>
              </w:rPr>
            </w:pPr>
            <w:r w:rsidRPr="00685505">
              <w:rPr>
                <w:i/>
                <w:sz w:val="20"/>
                <w:szCs w:val="20"/>
              </w:rPr>
              <w:t>720</w:t>
            </w:r>
          </w:p>
        </w:tc>
        <w:tc>
          <w:tcPr>
            <w:tcW w:w="1950" w:type="dxa"/>
            <w:vAlign w:val="center"/>
          </w:tcPr>
          <w:p w:rsidR="0072611D" w:rsidRPr="00685505" w:rsidRDefault="0072611D" w:rsidP="0072611D">
            <w:pPr>
              <w:jc w:val="right"/>
              <w:rPr>
                <w:i/>
                <w:sz w:val="20"/>
                <w:szCs w:val="20"/>
              </w:rPr>
            </w:pPr>
            <w:r w:rsidRPr="00685505">
              <w:rPr>
                <w:i/>
                <w:sz w:val="20"/>
                <w:szCs w:val="20"/>
              </w:rPr>
              <w:t>0.097</w:t>
            </w:r>
          </w:p>
        </w:tc>
        <w:tc>
          <w:tcPr>
            <w:tcW w:w="2019" w:type="dxa"/>
            <w:vAlign w:val="center"/>
          </w:tcPr>
          <w:p w:rsidR="0072611D" w:rsidRPr="00685505" w:rsidRDefault="0072611D" w:rsidP="0072611D">
            <w:pPr>
              <w:jc w:val="right"/>
              <w:rPr>
                <w:i/>
                <w:sz w:val="20"/>
                <w:szCs w:val="20"/>
              </w:rPr>
            </w:pPr>
            <w:r w:rsidRPr="00685505">
              <w:rPr>
                <w:i/>
                <w:sz w:val="20"/>
                <w:szCs w:val="20"/>
              </w:rPr>
              <w:t>73.681</w:t>
            </w:r>
          </w:p>
        </w:tc>
      </w:tr>
      <w:tr w:rsidR="0072611D" w:rsidRPr="00C84A44" w:rsidTr="0072611D">
        <w:trPr>
          <w:trHeight w:val="397"/>
        </w:trPr>
        <w:tc>
          <w:tcPr>
            <w:tcW w:w="3085" w:type="dxa"/>
            <w:vAlign w:val="center"/>
          </w:tcPr>
          <w:p w:rsidR="0072611D" w:rsidRPr="00C84A44" w:rsidRDefault="0072611D" w:rsidP="00A55D10">
            <w:pPr>
              <w:rPr>
                <w:sz w:val="20"/>
                <w:szCs w:val="20"/>
              </w:rPr>
            </w:pPr>
            <w:r w:rsidRPr="00C84A44">
              <w:rPr>
                <w:sz w:val="20"/>
                <w:szCs w:val="20"/>
              </w:rPr>
              <w:t>Sortie du 05/01</w:t>
            </w:r>
          </w:p>
        </w:tc>
        <w:tc>
          <w:tcPr>
            <w:tcW w:w="1985" w:type="dxa"/>
            <w:vAlign w:val="center"/>
          </w:tcPr>
          <w:p w:rsidR="0072611D" w:rsidRPr="00685505" w:rsidRDefault="0072611D" w:rsidP="0072611D">
            <w:pPr>
              <w:jc w:val="right"/>
              <w:rPr>
                <w:i/>
                <w:sz w:val="20"/>
                <w:szCs w:val="20"/>
              </w:rPr>
            </w:pPr>
            <w:r w:rsidRPr="00685505">
              <w:rPr>
                <w:i/>
                <w:sz w:val="20"/>
                <w:szCs w:val="20"/>
              </w:rPr>
              <w:t>144</w:t>
            </w:r>
          </w:p>
        </w:tc>
        <w:tc>
          <w:tcPr>
            <w:tcW w:w="1950" w:type="dxa"/>
            <w:vAlign w:val="center"/>
          </w:tcPr>
          <w:p w:rsidR="0072611D" w:rsidRPr="00685505" w:rsidRDefault="0072611D" w:rsidP="0072611D">
            <w:pPr>
              <w:jc w:val="right"/>
              <w:rPr>
                <w:i/>
                <w:sz w:val="20"/>
                <w:szCs w:val="20"/>
              </w:rPr>
            </w:pPr>
            <w:r w:rsidRPr="00685505">
              <w:rPr>
                <w:i/>
                <w:sz w:val="20"/>
                <w:szCs w:val="20"/>
              </w:rPr>
              <w:t>0.097</w:t>
            </w:r>
          </w:p>
        </w:tc>
        <w:tc>
          <w:tcPr>
            <w:tcW w:w="2019" w:type="dxa"/>
            <w:vAlign w:val="center"/>
          </w:tcPr>
          <w:p w:rsidR="0072611D" w:rsidRPr="00685505" w:rsidRDefault="0072611D" w:rsidP="0072611D">
            <w:pPr>
              <w:jc w:val="right"/>
              <w:rPr>
                <w:i/>
                <w:sz w:val="20"/>
                <w:szCs w:val="20"/>
              </w:rPr>
            </w:pPr>
            <w:r w:rsidRPr="00685505">
              <w:rPr>
                <w:i/>
                <w:sz w:val="20"/>
                <w:szCs w:val="20"/>
              </w:rPr>
              <w:t>14.736</w:t>
            </w:r>
          </w:p>
        </w:tc>
      </w:tr>
      <w:tr w:rsidR="0072611D" w:rsidRPr="0072611D" w:rsidTr="0072611D">
        <w:trPr>
          <w:trHeight w:val="397"/>
        </w:trPr>
        <w:tc>
          <w:tcPr>
            <w:tcW w:w="3085" w:type="dxa"/>
            <w:vAlign w:val="center"/>
          </w:tcPr>
          <w:p w:rsidR="0072611D" w:rsidRPr="0072611D" w:rsidRDefault="0072611D" w:rsidP="00A55D10">
            <w:pPr>
              <w:rPr>
                <w:b/>
                <w:sz w:val="20"/>
                <w:szCs w:val="20"/>
              </w:rPr>
            </w:pPr>
            <w:r w:rsidRPr="0072611D">
              <w:rPr>
                <w:b/>
                <w:sz w:val="20"/>
                <w:szCs w:val="20"/>
              </w:rPr>
              <w:t>Stock final le 05/01</w:t>
            </w:r>
          </w:p>
        </w:tc>
        <w:tc>
          <w:tcPr>
            <w:tcW w:w="1985" w:type="dxa"/>
            <w:vAlign w:val="center"/>
          </w:tcPr>
          <w:p w:rsidR="0072611D" w:rsidRPr="00685505" w:rsidRDefault="0072611D" w:rsidP="0072611D">
            <w:pPr>
              <w:jc w:val="right"/>
              <w:rPr>
                <w:b/>
                <w:i/>
                <w:sz w:val="20"/>
                <w:szCs w:val="20"/>
              </w:rPr>
            </w:pPr>
            <w:r w:rsidRPr="00685505">
              <w:rPr>
                <w:b/>
                <w:i/>
                <w:sz w:val="20"/>
                <w:szCs w:val="20"/>
              </w:rPr>
              <w:t>576</w:t>
            </w:r>
          </w:p>
        </w:tc>
        <w:tc>
          <w:tcPr>
            <w:tcW w:w="1950" w:type="dxa"/>
            <w:vAlign w:val="center"/>
          </w:tcPr>
          <w:p w:rsidR="0072611D" w:rsidRPr="00685505" w:rsidRDefault="0072611D" w:rsidP="0072611D">
            <w:pPr>
              <w:jc w:val="right"/>
              <w:rPr>
                <w:b/>
                <w:i/>
                <w:sz w:val="20"/>
                <w:szCs w:val="20"/>
              </w:rPr>
            </w:pPr>
            <w:r w:rsidRPr="00685505">
              <w:rPr>
                <w:b/>
                <w:i/>
                <w:sz w:val="20"/>
                <w:szCs w:val="20"/>
              </w:rPr>
              <w:t>0.097</w:t>
            </w:r>
          </w:p>
        </w:tc>
        <w:tc>
          <w:tcPr>
            <w:tcW w:w="2019" w:type="dxa"/>
            <w:vAlign w:val="center"/>
          </w:tcPr>
          <w:p w:rsidR="0072611D" w:rsidRPr="00685505" w:rsidRDefault="0072611D" w:rsidP="0072611D">
            <w:pPr>
              <w:jc w:val="right"/>
              <w:rPr>
                <w:b/>
                <w:i/>
                <w:sz w:val="20"/>
                <w:szCs w:val="20"/>
              </w:rPr>
            </w:pPr>
            <w:r w:rsidRPr="00685505">
              <w:rPr>
                <w:b/>
                <w:i/>
                <w:sz w:val="20"/>
                <w:szCs w:val="20"/>
              </w:rPr>
              <w:t>58.945</w:t>
            </w:r>
          </w:p>
        </w:tc>
      </w:tr>
      <w:tr w:rsidR="0072611D" w:rsidRPr="00C84A44" w:rsidTr="0072611D">
        <w:trPr>
          <w:trHeight w:val="397"/>
        </w:trPr>
        <w:tc>
          <w:tcPr>
            <w:tcW w:w="3085" w:type="dxa"/>
            <w:vAlign w:val="center"/>
          </w:tcPr>
          <w:p w:rsidR="0072611D" w:rsidRPr="00C84A44" w:rsidRDefault="0072611D" w:rsidP="00A55D10">
            <w:pPr>
              <w:rPr>
                <w:sz w:val="20"/>
                <w:szCs w:val="20"/>
              </w:rPr>
            </w:pPr>
            <w:r w:rsidRPr="00C84A44">
              <w:rPr>
                <w:sz w:val="20"/>
                <w:szCs w:val="20"/>
              </w:rPr>
              <w:t>Entrée du 06/01</w:t>
            </w:r>
          </w:p>
        </w:tc>
        <w:tc>
          <w:tcPr>
            <w:tcW w:w="1985" w:type="dxa"/>
            <w:vAlign w:val="center"/>
          </w:tcPr>
          <w:p w:rsidR="0072611D" w:rsidRPr="00685505" w:rsidRDefault="0072611D" w:rsidP="0072611D">
            <w:pPr>
              <w:jc w:val="right"/>
              <w:rPr>
                <w:i/>
                <w:sz w:val="20"/>
                <w:szCs w:val="20"/>
              </w:rPr>
            </w:pPr>
            <w:r w:rsidRPr="00685505">
              <w:rPr>
                <w:i/>
                <w:sz w:val="20"/>
                <w:szCs w:val="20"/>
              </w:rPr>
              <w:t>960</w:t>
            </w:r>
          </w:p>
        </w:tc>
        <w:tc>
          <w:tcPr>
            <w:tcW w:w="1950" w:type="dxa"/>
            <w:vAlign w:val="center"/>
          </w:tcPr>
          <w:p w:rsidR="0072611D" w:rsidRPr="00685505" w:rsidRDefault="0072611D" w:rsidP="0072611D">
            <w:pPr>
              <w:jc w:val="right"/>
              <w:rPr>
                <w:i/>
                <w:sz w:val="20"/>
                <w:szCs w:val="20"/>
              </w:rPr>
            </w:pPr>
            <w:r w:rsidRPr="00685505">
              <w:rPr>
                <w:i/>
                <w:sz w:val="20"/>
                <w:szCs w:val="20"/>
              </w:rPr>
              <w:t>0.107</w:t>
            </w:r>
          </w:p>
        </w:tc>
        <w:tc>
          <w:tcPr>
            <w:tcW w:w="2019" w:type="dxa"/>
            <w:vAlign w:val="center"/>
          </w:tcPr>
          <w:p w:rsidR="0072611D" w:rsidRPr="00685505" w:rsidRDefault="0072611D" w:rsidP="0072611D">
            <w:pPr>
              <w:jc w:val="right"/>
              <w:rPr>
                <w:i/>
                <w:sz w:val="20"/>
                <w:szCs w:val="20"/>
              </w:rPr>
            </w:pPr>
            <w:r w:rsidRPr="00685505">
              <w:rPr>
                <w:i/>
                <w:sz w:val="20"/>
                <w:szCs w:val="20"/>
              </w:rPr>
              <w:t>108.370</w:t>
            </w:r>
          </w:p>
        </w:tc>
      </w:tr>
      <w:tr w:rsidR="0072611D" w:rsidRPr="0072611D" w:rsidTr="0072611D">
        <w:trPr>
          <w:trHeight w:val="397"/>
        </w:trPr>
        <w:tc>
          <w:tcPr>
            <w:tcW w:w="3085" w:type="dxa"/>
            <w:vAlign w:val="center"/>
          </w:tcPr>
          <w:p w:rsidR="0072611D" w:rsidRPr="0072611D" w:rsidRDefault="0072611D" w:rsidP="00A55D10">
            <w:pPr>
              <w:rPr>
                <w:b/>
                <w:sz w:val="20"/>
                <w:szCs w:val="20"/>
              </w:rPr>
            </w:pPr>
            <w:r w:rsidRPr="0072611D">
              <w:rPr>
                <w:b/>
                <w:sz w:val="20"/>
                <w:szCs w:val="20"/>
              </w:rPr>
              <w:t>Coût d’achat moyen le 06/01</w:t>
            </w:r>
          </w:p>
        </w:tc>
        <w:tc>
          <w:tcPr>
            <w:tcW w:w="1985" w:type="dxa"/>
            <w:vAlign w:val="center"/>
          </w:tcPr>
          <w:p w:rsidR="0072611D" w:rsidRPr="00685505" w:rsidRDefault="0072611D" w:rsidP="0072611D">
            <w:pPr>
              <w:jc w:val="right"/>
              <w:rPr>
                <w:b/>
                <w:i/>
                <w:sz w:val="20"/>
                <w:szCs w:val="20"/>
              </w:rPr>
            </w:pPr>
            <w:r w:rsidRPr="00685505">
              <w:rPr>
                <w:b/>
                <w:i/>
                <w:sz w:val="20"/>
                <w:szCs w:val="20"/>
              </w:rPr>
              <w:t>1536</w:t>
            </w:r>
          </w:p>
        </w:tc>
        <w:tc>
          <w:tcPr>
            <w:tcW w:w="1950" w:type="dxa"/>
            <w:vAlign w:val="center"/>
          </w:tcPr>
          <w:p w:rsidR="0072611D" w:rsidRPr="00685505" w:rsidRDefault="0072611D" w:rsidP="0072611D">
            <w:pPr>
              <w:jc w:val="right"/>
              <w:rPr>
                <w:b/>
                <w:i/>
                <w:sz w:val="20"/>
                <w:szCs w:val="20"/>
              </w:rPr>
            </w:pPr>
            <w:r w:rsidRPr="00685505">
              <w:rPr>
                <w:b/>
                <w:i/>
                <w:sz w:val="20"/>
                <w:szCs w:val="20"/>
              </w:rPr>
              <w:t xml:space="preserve">167.3151/1536 = CMUP TTC soit 0.10892… </w:t>
            </w:r>
          </w:p>
          <w:p w:rsidR="0072611D" w:rsidRPr="00685505" w:rsidRDefault="0072611D" w:rsidP="0072611D">
            <w:pPr>
              <w:jc w:val="right"/>
              <w:rPr>
                <w:b/>
                <w:i/>
                <w:sz w:val="20"/>
                <w:szCs w:val="20"/>
              </w:rPr>
            </w:pPr>
            <w:r w:rsidRPr="00685505">
              <w:rPr>
                <w:b/>
                <w:i/>
                <w:sz w:val="20"/>
                <w:szCs w:val="20"/>
              </w:rPr>
              <w:t xml:space="preserve">soit </w:t>
            </w:r>
            <w:r w:rsidRPr="00685505">
              <w:rPr>
                <w:b/>
                <w:i/>
                <w:sz w:val="24"/>
                <w:szCs w:val="24"/>
                <w:highlight w:val="yellow"/>
              </w:rPr>
              <w:t>0.103 HT</w:t>
            </w:r>
          </w:p>
        </w:tc>
        <w:tc>
          <w:tcPr>
            <w:tcW w:w="2019" w:type="dxa"/>
            <w:vAlign w:val="center"/>
          </w:tcPr>
          <w:p w:rsidR="0072611D" w:rsidRPr="00685505" w:rsidRDefault="0072611D" w:rsidP="0072611D">
            <w:pPr>
              <w:jc w:val="right"/>
              <w:rPr>
                <w:b/>
                <w:i/>
                <w:sz w:val="20"/>
                <w:szCs w:val="20"/>
              </w:rPr>
            </w:pPr>
            <w:r w:rsidRPr="00685505">
              <w:rPr>
                <w:b/>
                <w:i/>
                <w:sz w:val="20"/>
                <w:szCs w:val="20"/>
              </w:rPr>
              <w:t>167.315</w:t>
            </w:r>
          </w:p>
        </w:tc>
      </w:tr>
    </w:tbl>
    <w:p w:rsidR="0072611D" w:rsidRPr="00C84A44" w:rsidRDefault="0072611D">
      <w:pPr>
        <w:rPr>
          <w:sz w:val="20"/>
          <w:szCs w:val="20"/>
        </w:rPr>
      </w:pPr>
    </w:p>
    <w:sectPr w:rsidR="0072611D" w:rsidRPr="00C84A44" w:rsidSect="00161D9F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44" w:rsidRDefault="00C84A44" w:rsidP="00C84A44">
      <w:pPr>
        <w:spacing w:after="0" w:line="240" w:lineRule="auto"/>
      </w:pPr>
      <w:r>
        <w:separator/>
      </w:r>
    </w:p>
  </w:endnote>
  <w:endnote w:type="continuationSeparator" w:id="0">
    <w:p w:rsidR="00C84A44" w:rsidRDefault="00C84A44" w:rsidP="00C8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44" w:rsidRDefault="00C84A44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L’évaluation des stocks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408C4" w:rsidRPr="003408C4">
        <w:rPr>
          <w:rFonts w:asciiTheme="majorHAnsi" w:hAnsiTheme="majorHAnsi"/>
          <w:noProof/>
        </w:rPr>
        <w:t>2</w:t>
      </w:r>
    </w:fldSimple>
  </w:p>
  <w:p w:rsidR="00C84A44" w:rsidRDefault="00C84A4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44" w:rsidRDefault="00C84A44" w:rsidP="00C84A44">
      <w:pPr>
        <w:spacing w:after="0" w:line="240" w:lineRule="auto"/>
      </w:pPr>
      <w:r>
        <w:separator/>
      </w:r>
    </w:p>
  </w:footnote>
  <w:footnote w:type="continuationSeparator" w:id="0">
    <w:p w:rsidR="00C84A44" w:rsidRDefault="00C84A44" w:rsidP="00C84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16E"/>
    <w:rsid w:val="000501AE"/>
    <w:rsid w:val="0006437C"/>
    <w:rsid w:val="000B2AE5"/>
    <w:rsid w:val="00161D9F"/>
    <w:rsid w:val="0024184F"/>
    <w:rsid w:val="002C0CD8"/>
    <w:rsid w:val="003408C4"/>
    <w:rsid w:val="003B6700"/>
    <w:rsid w:val="00400A62"/>
    <w:rsid w:val="00402872"/>
    <w:rsid w:val="00402E59"/>
    <w:rsid w:val="00432FE9"/>
    <w:rsid w:val="004C04D9"/>
    <w:rsid w:val="00504F59"/>
    <w:rsid w:val="005B547B"/>
    <w:rsid w:val="00685505"/>
    <w:rsid w:val="006C730B"/>
    <w:rsid w:val="0072611D"/>
    <w:rsid w:val="0073316E"/>
    <w:rsid w:val="00800B8E"/>
    <w:rsid w:val="00801B9C"/>
    <w:rsid w:val="00970C2A"/>
    <w:rsid w:val="00AA2370"/>
    <w:rsid w:val="00B15987"/>
    <w:rsid w:val="00C84A44"/>
    <w:rsid w:val="00D33C1F"/>
    <w:rsid w:val="00E20A31"/>
    <w:rsid w:val="00EB390C"/>
    <w:rsid w:val="00EE15E2"/>
    <w:rsid w:val="00FB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16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4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84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4A44"/>
  </w:style>
  <w:style w:type="paragraph" w:styleId="Pieddepage">
    <w:name w:val="footer"/>
    <w:basedOn w:val="Normal"/>
    <w:link w:val="PieddepageCar"/>
    <w:uiPriority w:val="99"/>
    <w:unhideWhenUsed/>
    <w:rsid w:val="00C84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gtoubou</dc:creator>
  <cp:keywords/>
  <dc:description/>
  <cp:lastModifiedBy>gtoubou</cp:lastModifiedBy>
  <cp:revision>25</cp:revision>
  <cp:lastPrinted>2011-05-10T09:27:00Z</cp:lastPrinted>
  <dcterms:created xsi:type="dcterms:W3CDTF">2011-04-08T05:42:00Z</dcterms:created>
  <dcterms:modified xsi:type="dcterms:W3CDTF">2011-05-10T09:41:00Z</dcterms:modified>
</cp:coreProperties>
</file>